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D5065" w14:textId="77777777" w:rsidR="007930BD" w:rsidRPr="00845C3E" w:rsidRDefault="007930BD" w:rsidP="007930B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45C3E">
        <w:rPr>
          <w:rFonts w:ascii="Arial" w:hAnsi="Arial" w:cs="Arial"/>
          <w:b/>
          <w:color w:val="000000"/>
          <w:sz w:val="24"/>
          <w:szCs w:val="24"/>
        </w:rPr>
        <w:t>ANEXO VI</w:t>
      </w:r>
    </w:p>
    <w:p w14:paraId="0341F814" w14:textId="77777777" w:rsidR="007930BD" w:rsidRPr="00845C3E" w:rsidRDefault="007930BD" w:rsidP="00845C3E">
      <w:pPr>
        <w:spacing w:after="120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845C3E">
        <w:rPr>
          <w:rFonts w:ascii="Arial" w:hAnsi="Arial" w:cs="Arial"/>
          <w:b/>
          <w:sz w:val="24"/>
          <w:szCs w:val="24"/>
        </w:rPr>
        <w:t>MINUTA DO TERMO DE EXECUÇÃO CULTURAL</w:t>
      </w:r>
    </w:p>
    <w:p w14:paraId="14D6D263" w14:textId="77777777" w:rsidR="007930BD" w:rsidRPr="00845C3E" w:rsidRDefault="007930BD" w:rsidP="007930BD">
      <w:pPr>
        <w:spacing w:after="12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TERMO DE EXECUÇÃO CULTURAL Nº:</w:t>
      </w:r>
    </w:p>
    <w:p w14:paraId="1051DF82" w14:textId="77777777" w:rsidR="007930BD" w:rsidRPr="00845C3E" w:rsidRDefault="007930BD" w:rsidP="007930BD">
      <w:pPr>
        <w:spacing w:after="120"/>
        <w:ind w:left="100"/>
        <w:jc w:val="both"/>
        <w:rPr>
          <w:rFonts w:ascii="Arial" w:hAnsi="Arial" w:cs="Arial"/>
          <w:sz w:val="24"/>
          <w:szCs w:val="24"/>
        </w:rPr>
      </w:pPr>
    </w:p>
    <w:p w14:paraId="2FF849E8" w14:textId="518981C2" w:rsidR="007930BD" w:rsidRPr="00845C3E" w:rsidRDefault="007930BD" w:rsidP="007930BD">
      <w:pPr>
        <w:spacing w:after="120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TERMO DE EXECUÇÃO CULTURAL FIRMANDO ENTRE A PREFEITURA MUNICIPAL DE ITAPIPOCA/CE, POR MEIO DA SECRETARIA MUNICIPAL DE CULTURA DE ITAPIPOCA/CE/CE E O/A (</w:t>
      </w:r>
      <w:r w:rsidRPr="00845C3E">
        <w:rPr>
          <w:rFonts w:ascii="Arial" w:hAnsi="Arial" w:cs="Arial"/>
          <w:b/>
          <w:bCs/>
          <w:i/>
          <w:iCs/>
          <w:sz w:val="24"/>
          <w:szCs w:val="24"/>
        </w:rPr>
        <w:t>AGENTE CULTURAL</w:t>
      </w:r>
      <w:r w:rsidRPr="00845C3E">
        <w:rPr>
          <w:rFonts w:ascii="Arial" w:hAnsi="Arial" w:cs="Arial"/>
          <w:b/>
          <w:bCs/>
          <w:sz w:val="24"/>
          <w:szCs w:val="24"/>
        </w:rPr>
        <w:t>) CONCESSÃO DE APOIO FINANCEIRO A AÇÕES CULTURAIS CONTEMPLADAS PELO EDITAL CHAMAMENTO PÚBLICO Nº 002</w:t>
      </w:r>
      <w:r w:rsidR="006E318C" w:rsidRPr="00845C3E">
        <w:rPr>
          <w:rFonts w:ascii="Arial" w:hAnsi="Arial" w:cs="Arial"/>
          <w:b/>
          <w:bCs/>
          <w:sz w:val="24"/>
          <w:szCs w:val="24"/>
        </w:rPr>
        <w:t>.20</w:t>
      </w:r>
      <w:r w:rsidRPr="00845C3E">
        <w:rPr>
          <w:rFonts w:ascii="Arial" w:hAnsi="Arial" w:cs="Arial"/>
          <w:b/>
          <w:bCs/>
          <w:sz w:val="24"/>
          <w:szCs w:val="24"/>
        </w:rPr>
        <w:t>/2024 - PARA REALIZAÇÃO DO FESTIVAL DE CINEMA DE ITAPIPOCA/CE</w:t>
      </w:r>
      <w:r w:rsidRPr="00845C3E">
        <w:rPr>
          <w:rStyle w:val="Forte"/>
          <w:rFonts w:ascii="Arial" w:hAnsi="Arial" w:cs="Arial"/>
          <w:color w:val="000000"/>
          <w:sz w:val="24"/>
          <w:szCs w:val="24"/>
        </w:rPr>
        <w:t>, NO MUNICÍPIO DE ITAPIPOCA/CE</w:t>
      </w:r>
      <w:r w:rsidRPr="00845C3E">
        <w:rPr>
          <w:rFonts w:ascii="Arial" w:hAnsi="Arial" w:cs="Arial"/>
          <w:b/>
          <w:bCs/>
          <w:i/>
          <w:sz w:val="24"/>
          <w:szCs w:val="24"/>
        </w:rPr>
        <w:t>,</w:t>
      </w:r>
      <w:r w:rsidRPr="00845C3E">
        <w:rPr>
          <w:rFonts w:ascii="Arial" w:hAnsi="Arial" w:cs="Arial"/>
          <w:b/>
          <w:bCs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63380E4A" w14:textId="77777777" w:rsidR="007930BD" w:rsidRPr="00845C3E" w:rsidRDefault="007930BD" w:rsidP="007930BD">
      <w:pPr>
        <w:spacing w:after="120"/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788911E2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1. CLÁUSULA PRIMEIRA – DAS PARTES</w:t>
      </w:r>
    </w:p>
    <w:p w14:paraId="3D80059C" w14:textId="58660CC0" w:rsidR="007930BD" w:rsidRPr="00845C3E" w:rsidRDefault="007930BD" w:rsidP="00223448">
      <w:pPr>
        <w:pStyle w:val="textojustificado"/>
        <w:ind w:left="142" w:right="120"/>
        <w:jc w:val="both"/>
        <w:rPr>
          <w:rFonts w:ascii="Arial" w:hAnsi="Arial" w:cs="Arial"/>
          <w:b/>
          <w:color w:val="000000"/>
        </w:rPr>
      </w:pPr>
      <w:r w:rsidRPr="00845C3E">
        <w:rPr>
          <w:rFonts w:ascii="Arial" w:hAnsi="Arial" w:cs="Arial"/>
        </w:rPr>
        <w:t>1.1 O</w:t>
      </w:r>
      <w:r w:rsidRPr="00845C3E">
        <w:rPr>
          <w:rFonts w:ascii="Arial" w:hAnsi="Arial" w:cs="Arial"/>
          <w:color w:val="FF0000"/>
        </w:rPr>
        <w:t xml:space="preserve"> </w:t>
      </w:r>
      <w:r w:rsidRPr="00845C3E">
        <w:rPr>
          <w:rFonts w:ascii="Arial" w:hAnsi="Arial" w:cs="Arial"/>
        </w:rPr>
        <w:t>Município de ITAPIPOCA/CE, por meio da SECRETARIA DA CULTURA, neste ato representada pel</w:t>
      </w:r>
      <w:r w:rsidR="00223448">
        <w:rPr>
          <w:rFonts w:ascii="Arial" w:hAnsi="Arial" w:cs="Arial"/>
        </w:rPr>
        <w:t>a</w:t>
      </w:r>
      <w:r w:rsidRPr="00845C3E">
        <w:rPr>
          <w:rFonts w:ascii="Arial" w:hAnsi="Arial" w:cs="Arial"/>
        </w:rPr>
        <w:t xml:space="preserve"> Secretári</w:t>
      </w:r>
      <w:r w:rsidR="00223448">
        <w:rPr>
          <w:rFonts w:ascii="Arial" w:hAnsi="Arial" w:cs="Arial"/>
        </w:rPr>
        <w:t>a</w:t>
      </w:r>
      <w:r w:rsidRPr="00845C3E">
        <w:rPr>
          <w:rFonts w:ascii="Arial" w:hAnsi="Arial" w:cs="Arial"/>
        </w:rPr>
        <w:t xml:space="preserve"> da Cultura, o Senhor</w:t>
      </w:r>
      <w:r w:rsidR="00223448">
        <w:rPr>
          <w:rFonts w:ascii="Arial" w:hAnsi="Arial" w:cs="Arial"/>
        </w:rPr>
        <w:t>a</w:t>
      </w:r>
      <w:r w:rsidRPr="00845C3E">
        <w:rPr>
          <w:rFonts w:ascii="Arial" w:hAnsi="Arial" w:cs="Arial"/>
        </w:rPr>
        <w:t xml:space="preserve"> </w:t>
      </w:r>
      <w:r w:rsidR="00223448" w:rsidRPr="00223448">
        <w:rPr>
          <w:rFonts w:ascii="Arial" w:eastAsiaTheme="majorEastAsia" w:hAnsi="Arial" w:cs="Arial"/>
          <w:b/>
          <w:bCs/>
          <w:color w:val="303030"/>
          <w:spacing w:val="2"/>
          <w:shd w:val="clear" w:color="auto" w:fill="FFFFFF"/>
        </w:rPr>
        <w:t>Shirley Jane da Silva Lavor</w:t>
      </w:r>
      <w:r w:rsidR="00223448">
        <w:rPr>
          <w:rFonts w:ascii="Arial" w:eastAsiaTheme="majorEastAsia" w:hAnsi="Arial" w:cs="Arial"/>
          <w:b/>
          <w:bCs/>
          <w:color w:val="303030"/>
          <w:spacing w:val="2"/>
          <w:shd w:val="clear" w:color="auto" w:fill="FFFFFF"/>
        </w:rPr>
        <w:t xml:space="preserve">, </w:t>
      </w:r>
      <w:r w:rsidR="00223448" w:rsidRPr="00223448">
        <w:rPr>
          <w:rFonts w:ascii="Arial" w:eastAsiaTheme="majorEastAsia" w:hAnsi="Arial" w:cs="Arial"/>
          <w:color w:val="303030"/>
          <w:spacing w:val="2"/>
          <w:shd w:val="clear" w:color="auto" w:fill="FFFFFF"/>
        </w:rPr>
        <w:t>Secretária Executiva da Secretaria da Cultura</w:t>
      </w:r>
      <w:r w:rsidRPr="00223448">
        <w:rPr>
          <w:rFonts w:ascii="Arial" w:hAnsi="Arial" w:cs="Arial"/>
        </w:rPr>
        <w:t>, e o (</w:t>
      </w:r>
      <w:r w:rsidRPr="00845C3E">
        <w:rPr>
          <w:rFonts w:ascii="Arial" w:hAnsi="Arial" w:cs="Arial"/>
        </w:rPr>
        <w:t>a) AGENTE CULTURAL, [O(A) AGENTE CULTURAL CONTEMPLADO], portador(a) do RG nº [Nº DO RG], expedida em [ÓRGÃO EXPEDIDOR], CPF nº [Nº DO CPF], residente e domiciliado(a) à [ENDEREÇO], CEP: [CEP], telefones: [TELEFONES], resolvem firmar o presente Termo de Execução Cultural, de acordo com as seguintes condições:</w:t>
      </w:r>
    </w:p>
    <w:p w14:paraId="73640AE9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6003734B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2. CLAUSULA SEGUNDA - DO PROCEDIMENTO</w:t>
      </w:r>
    </w:p>
    <w:p w14:paraId="7F6AFEC0" w14:textId="5F5E84E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46BC0B4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370982A1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3. CLAUSULA TERCEIRA - DO OBJETO</w:t>
      </w:r>
    </w:p>
    <w:p w14:paraId="02E51A2E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lastRenderedPageBreak/>
        <w:t xml:space="preserve">3.1. Este Termo de Execução Cultural tem por objeto a concessão de apoio financeiro ao projeto cultural [NOME DO PROJETO], contemplado no conforme processo administrativo nº [NÚMERO DO PROCESSO]. </w:t>
      </w:r>
    </w:p>
    <w:p w14:paraId="2A2A195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2C1A4AFD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 xml:space="preserve">4. CLAUSULA QUARTA – DOS RECURSOS FINANCEIROS </w:t>
      </w:r>
    </w:p>
    <w:p w14:paraId="07BBA17B" w14:textId="71CEDAF2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4.1. Os recursos financeiros para a execução do presente termo totalizam o montante de R$</w:t>
      </w:r>
      <w:r w:rsidR="00366ED0">
        <w:rPr>
          <w:rFonts w:ascii="Arial" w:hAnsi="Arial" w:cs="Arial"/>
          <w:sz w:val="24"/>
          <w:szCs w:val="24"/>
        </w:rPr>
        <w:t>_______________________</w:t>
      </w:r>
    </w:p>
    <w:p w14:paraId="442EAFC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4E1ADCD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77979CCA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5. CLAUSULA QUINTA – DA APLICAÇÃO DOS RECURSOS</w:t>
      </w:r>
    </w:p>
    <w:p w14:paraId="0E66EC6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D88823D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18F92EF0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6. CLAUSULA SEXTA - DAS OBRIGAÇÕES</w:t>
      </w:r>
    </w:p>
    <w:p w14:paraId="2A8A595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6.1 São obrigações da SECRETARIA DA CULTURA de ITAPIPOCA/CE:</w:t>
      </w:r>
    </w:p>
    <w:p w14:paraId="1891781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I) transferir os recursos ao(a)AGENTE CULTURAL; </w:t>
      </w:r>
    </w:p>
    <w:p w14:paraId="1FB96B1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274D3B0D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58DF2D5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IV) zelar pelo fiel cumprimento deste termo de execução cultural; </w:t>
      </w:r>
    </w:p>
    <w:p w14:paraId="04DAAD8F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544109B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VI) monitorar o cumprimento pelo(a) AGENTE CULTURAL das obrigações previstas na CLÁUSULA 6.2.</w:t>
      </w:r>
    </w:p>
    <w:p w14:paraId="5E1E5EE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6.2 São obrigações do(a) AGENTE CULTURAL: </w:t>
      </w:r>
    </w:p>
    <w:p w14:paraId="4E2B072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63BE311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126E3BF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9FF28D5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CCE2C66" w14:textId="4869DA4D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V) prestar informações à</w:t>
      </w:r>
      <w:r w:rsidRPr="00845C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45C3E">
        <w:rPr>
          <w:rFonts w:ascii="Arial" w:hAnsi="Arial" w:cs="Arial"/>
          <w:sz w:val="24"/>
          <w:szCs w:val="24"/>
        </w:rPr>
        <w:t xml:space="preserve">SECRETARIA DA CULTURA de ITAPIPOCA/CE: por meio de Relatório de Execução do Objeto, apresentado no prazo máximo de </w:t>
      </w:r>
      <w:r w:rsidR="00BB173A" w:rsidRPr="00845C3E">
        <w:rPr>
          <w:rFonts w:ascii="Arial" w:hAnsi="Arial" w:cs="Arial"/>
          <w:sz w:val="24"/>
          <w:szCs w:val="24"/>
        </w:rPr>
        <w:t>30</w:t>
      </w:r>
      <w:r w:rsidRPr="00845C3E">
        <w:rPr>
          <w:rFonts w:ascii="Arial" w:hAnsi="Arial" w:cs="Arial"/>
          <w:sz w:val="24"/>
          <w:szCs w:val="24"/>
        </w:rPr>
        <w:t xml:space="preserve"> (</w:t>
      </w:r>
      <w:r w:rsidR="00BB173A" w:rsidRPr="00845C3E">
        <w:rPr>
          <w:rFonts w:ascii="Arial" w:hAnsi="Arial" w:cs="Arial"/>
          <w:sz w:val="24"/>
          <w:szCs w:val="24"/>
        </w:rPr>
        <w:t>trinta</w:t>
      </w:r>
      <w:r w:rsidRPr="00845C3E">
        <w:rPr>
          <w:rFonts w:ascii="Arial" w:hAnsi="Arial" w:cs="Arial"/>
          <w:sz w:val="24"/>
          <w:szCs w:val="24"/>
        </w:rPr>
        <w:t xml:space="preserve"> dias) contados do término da vigência do termo de execução cultural;</w:t>
      </w:r>
    </w:p>
    <w:p w14:paraId="4C8A27A9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VI) atender a qualquer solicitação regular feita pela SECRETARIA DA CULTURA de ITAPIPOCA/CE a contar do recebimento da notificação; </w:t>
      </w:r>
    </w:p>
    <w:p w14:paraId="6B2059B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lastRenderedPageBreak/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 e do Governo Municipal de ITAPIPOCA, bem como da SECRETARIA DA CULTURA;</w:t>
      </w:r>
    </w:p>
    <w:p w14:paraId="531F44E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VIII) não realizar despesa em data anterior ou posterior à vigência deste termo de execução cultural; </w:t>
      </w:r>
    </w:p>
    <w:p w14:paraId="71A265F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5 anos, contados do fim da vigência deste Termo de Execução Cultural; </w:t>
      </w:r>
    </w:p>
    <w:p w14:paraId="7E2DD89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3FDA22FE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XI) executar a contrapartida conforme pactuado.</w:t>
      </w:r>
    </w:p>
    <w:p w14:paraId="2E7D4EE7" w14:textId="77777777" w:rsidR="007930BD" w:rsidRPr="00845C3E" w:rsidRDefault="007930BD" w:rsidP="007930BD">
      <w:pPr>
        <w:pStyle w:val="textojustificado"/>
        <w:spacing w:before="0" w:beforeAutospacing="0" w:after="0" w:afterAutospacing="0" w:line="276" w:lineRule="auto"/>
        <w:ind w:left="142" w:right="120"/>
        <w:jc w:val="both"/>
        <w:rPr>
          <w:rFonts w:ascii="Arial" w:hAnsi="Arial" w:cs="Arial"/>
          <w:color w:val="000000"/>
        </w:rPr>
      </w:pPr>
      <w:r w:rsidRPr="00845C3E">
        <w:rPr>
          <w:rFonts w:ascii="Arial" w:hAnsi="Arial" w:cs="Arial"/>
        </w:rPr>
        <w:t xml:space="preserve">XII) </w:t>
      </w:r>
      <w:r w:rsidRPr="00845C3E">
        <w:rPr>
          <w:rFonts w:ascii="Arial" w:hAnsi="Arial" w:cs="Arial"/>
          <w:color w:val="000000"/>
        </w:rPr>
        <w:t>realizar a contrapartida social, sob orientação exclusiva da SECRETARIA DA CULTURA de ITAPIPOCA/CE, que irá indicar a composição de banco de ações artísticas e culturais a serviço público</w:t>
      </w:r>
    </w:p>
    <w:p w14:paraId="1848CB9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3BB700E6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7. CLAUSULA SÉTIMA – DA PRESTAÇÃO DE INFORMAÇÕES</w:t>
      </w:r>
    </w:p>
    <w:p w14:paraId="76AA555D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7F99BA8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4794F27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apresentação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3826354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análise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do relatório de execução do objeto por agente público designado.</w:t>
      </w:r>
    </w:p>
    <w:p w14:paraId="2CD64579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33340FA5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comprovar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que foram alcançados os resultados da ação cultural;</w:t>
      </w:r>
    </w:p>
    <w:p w14:paraId="6F48FADD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conter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a descrição das ações desenvolvidas para o cumprimento do objeto; </w:t>
      </w:r>
    </w:p>
    <w:p w14:paraId="5DCCECE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9A8C35E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7A5BAD2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encaminhar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2A0DF63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lastRenderedPageBreak/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recomendar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74AADE50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5A1F9075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determinar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7F5B9D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solicitar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78E71EB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5591E908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59A5CBA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quando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não estiver comprovado o cumprimento do objeto, observados os procedimentos previstos no item 7.2; ou</w:t>
      </w:r>
    </w:p>
    <w:p w14:paraId="48835150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quando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70D33D0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72D8527C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FE15A7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aprovação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da prestação de informações, com ou sem ressalvas; ou</w:t>
      </w:r>
    </w:p>
    <w:p w14:paraId="3357F44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reprovação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da prestação de informações, parcial ou total.</w:t>
      </w:r>
    </w:p>
    <w:p w14:paraId="5042FD1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34F354A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devolução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parcial ou integral dos recursos ao erário;</w:t>
      </w:r>
    </w:p>
    <w:p w14:paraId="7602B46C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apresentação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de plano de ações compensatórias; ou</w:t>
      </w:r>
    </w:p>
    <w:p w14:paraId="60D090D0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3C5065E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lastRenderedPageBreak/>
        <w:t>7.5.1 A ocorrência de caso fortuito ou força maior impeditiva da execução do instrumento afasta a reprovação da prestação de informações, desde que comprovada.</w:t>
      </w:r>
    </w:p>
    <w:p w14:paraId="736185A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7F50A5B0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53F14B4B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6AE26DE9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0B9F728B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8. CLAUSULA OITAVA – DA ALTERAÇÃO DO TERMO DE EXECUÇÃO CULTURAL</w:t>
      </w:r>
    </w:p>
    <w:p w14:paraId="7EF9EB60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54C7BA8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0D4AF82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prorrogação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101EAB5D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alteração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do projeto sem modificação do valor global do instrumento e sem modificação substancial do objeto.</w:t>
      </w:r>
    </w:p>
    <w:p w14:paraId="03A0D54C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4C23752A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7529AB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705F26A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0A318C20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29D96345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9. CLAUSULA NONA – DA TITULARIDADE DE BENS</w:t>
      </w:r>
    </w:p>
    <w:p w14:paraId="13C2180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nos termos do Art. 27 do Decreto Federal 11.453/2023.</w:t>
      </w:r>
    </w:p>
    <w:p w14:paraId="18205C5F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712AD82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13B2E0E1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10. CLAUSULA DÉCIMA – DA EXTINÇÃO DO TERMO DE EXECUÇÃO CULTURAL</w:t>
      </w:r>
    </w:p>
    <w:p w14:paraId="5069DEB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10.1 O presente Termo de Execução Cultural poderá ser:</w:t>
      </w:r>
    </w:p>
    <w:p w14:paraId="08912D08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45C3E">
        <w:rPr>
          <w:rFonts w:ascii="Arial" w:hAnsi="Arial" w:cs="Arial"/>
          <w:sz w:val="24"/>
          <w:szCs w:val="24"/>
        </w:rPr>
        <w:t>extinto</w:t>
      </w:r>
      <w:proofErr w:type="gramEnd"/>
      <w:r w:rsidRPr="00845C3E">
        <w:rPr>
          <w:rFonts w:ascii="Arial" w:hAnsi="Arial" w:cs="Arial"/>
          <w:sz w:val="24"/>
          <w:szCs w:val="24"/>
        </w:rPr>
        <w:t xml:space="preserve"> por decurso de prazo;</w:t>
      </w:r>
    </w:p>
    <w:p w14:paraId="447941A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45C3E">
        <w:rPr>
          <w:rFonts w:ascii="Arial" w:hAnsi="Arial" w:cs="Arial"/>
          <w:sz w:val="24"/>
          <w:szCs w:val="24"/>
        </w:rPr>
        <w:t>extinto</w:t>
      </w:r>
      <w:proofErr w:type="gramEnd"/>
      <w:r w:rsidRPr="00845C3E">
        <w:rPr>
          <w:rFonts w:ascii="Arial" w:hAnsi="Arial" w:cs="Arial"/>
          <w:sz w:val="24"/>
          <w:szCs w:val="24"/>
        </w:rPr>
        <w:t>, de comum acordo antes do prazo avençado, mediante Termo de Distrato;</w:t>
      </w:r>
    </w:p>
    <w:p w14:paraId="7AD7A06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3D31138A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845C3E">
        <w:rPr>
          <w:rFonts w:ascii="Arial" w:hAnsi="Arial" w:cs="Arial"/>
          <w:sz w:val="24"/>
          <w:szCs w:val="24"/>
        </w:rPr>
        <w:t>rescindido</w:t>
      </w:r>
      <w:proofErr w:type="gramEnd"/>
      <w:r w:rsidRPr="00845C3E">
        <w:rPr>
          <w:rFonts w:ascii="Arial" w:hAnsi="Arial" w:cs="Arial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1EC76EAD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63ED98A5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b) irregularidade ou inexecução injustificada, ainda que parcial, do objeto, resultados ou metas pactuadas;</w:t>
      </w:r>
    </w:p>
    <w:p w14:paraId="2D05DBD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c) violação da legislação aplicável;</w:t>
      </w:r>
    </w:p>
    <w:p w14:paraId="54CEADA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d) cometimento de falhas reiteradas na execução;</w:t>
      </w:r>
    </w:p>
    <w:p w14:paraId="17E8B98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e) má administração de recursos públicos;</w:t>
      </w:r>
    </w:p>
    <w:p w14:paraId="562181E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f) constatação de falsidade ou fraude nas informações ou documentos apresentados;</w:t>
      </w:r>
    </w:p>
    <w:p w14:paraId="5E812DF1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1CCC6B2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69370FD4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0672A5C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10D0C5F2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10.4 Na hipótese de irregularidade na execução do objeto que enseje </w:t>
      </w:r>
      <w:proofErr w:type="spellStart"/>
      <w:r w:rsidRPr="00845C3E">
        <w:rPr>
          <w:rFonts w:ascii="Arial" w:hAnsi="Arial" w:cs="Arial"/>
          <w:sz w:val="24"/>
          <w:szCs w:val="24"/>
        </w:rPr>
        <w:t>dano</w:t>
      </w:r>
      <w:proofErr w:type="spellEnd"/>
      <w:r w:rsidRPr="00845C3E">
        <w:rPr>
          <w:rFonts w:ascii="Arial" w:hAnsi="Arial" w:cs="Arial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446831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10.5 Outras situações relativas à extinção deste Termo não previstas na legislação aplicável ou neste instrumento poderão ser negociadas entre as partes ou, se for o caso, no Termo de Distrato.  </w:t>
      </w:r>
    </w:p>
    <w:p w14:paraId="101F2D8E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17234860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>11. CLAUSULA DÉCIMA PRIMEIRA – DAS SANÇÕES</w:t>
      </w:r>
    </w:p>
    <w:p w14:paraId="3F9C4FA9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AA8D67E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6A39804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3AFB2233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4F5BC269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 xml:space="preserve">12. CLAUSUAL DÉCIMA SEGUNDA – DO MONITORAMENTO E CONTROLE DE RESULTADOS </w:t>
      </w:r>
    </w:p>
    <w:p w14:paraId="0E3E25B7" w14:textId="2ED74DB6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12.1 O Termo de Execução Contratual será monitora</w:t>
      </w:r>
      <w:r w:rsidR="00D438DA" w:rsidRPr="00845C3E">
        <w:rPr>
          <w:rFonts w:ascii="Arial" w:hAnsi="Arial" w:cs="Arial"/>
          <w:sz w:val="24"/>
          <w:szCs w:val="24"/>
        </w:rPr>
        <w:t>do</w:t>
      </w:r>
      <w:r w:rsidRPr="00845C3E">
        <w:rPr>
          <w:rFonts w:ascii="Arial" w:hAnsi="Arial" w:cs="Arial"/>
          <w:sz w:val="24"/>
          <w:szCs w:val="24"/>
        </w:rPr>
        <w:t xml:space="preserve"> e acompanhado pela Comissão de Acompanhamento e Fiscalização da Lei Paulo Gustavo em ITAPIPOCA/CE.</w:t>
      </w:r>
    </w:p>
    <w:p w14:paraId="0139A2B8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12.2 A Comissão emitirá relatórios sempre que houver irregularidades na execução do termo cultural ou ainda quando não identificado o alcance do resultado.</w:t>
      </w:r>
    </w:p>
    <w:p w14:paraId="1B241A07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color w:val="FF0000"/>
          <w:sz w:val="24"/>
          <w:szCs w:val="24"/>
        </w:rPr>
      </w:pPr>
    </w:p>
    <w:p w14:paraId="53074653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 xml:space="preserve">13. CLAUSULA DÉCIMA TERCEIRA – DA VIGÊNCIA </w:t>
      </w:r>
    </w:p>
    <w:p w14:paraId="5921C3F1" w14:textId="3C6AED5F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 xml:space="preserve">13.1 A vigência deste instrumento terá início na data de assinatura das partes, com duração de até o dia 30 de </w:t>
      </w:r>
      <w:r w:rsidR="00D438DA" w:rsidRPr="00845C3E">
        <w:rPr>
          <w:rFonts w:ascii="Arial" w:hAnsi="Arial" w:cs="Arial"/>
          <w:sz w:val="24"/>
          <w:szCs w:val="24"/>
        </w:rPr>
        <w:t>abril</w:t>
      </w:r>
      <w:r w:rsidRPr="00845C3E">
        <w:rPr>
          <w:rFonts w:ascii="Arial" w:hAnsi="Arial" w:cs="Arial"/>
          <w:sz w:val="24"/>
          <w:szCs w:val="24"/>
        </w:rPr>
        <w:t xml:space="preserve"> de 202</w:t>
      </w:r>
      <w:r w:rsidR="00D438DA" w:rsidRPr="00845C3E">
        <w:rPr>
          <w:rFonts w:ascii="Arial" w:hAnsi="Arial" w:cs="Arial"/>
          <w:sz w:val="24"/>
          <w:szCs w:val="24"/>
        </w:rPr>
        <w:t>5.</w:t>
      </w:r>
    </w:p>
    <w:p w14:paraId="7F66D85A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color w:val="FF0000"/>
          <w:sz w:val="24"/>
          <w:szCs w:val="24"/>
        </w:rPr>
      </w:pPr>
    </w:p>
    <w:p w14:paraId="2786F2CD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 xml:space="preserve">14. CLAUSULA DÉCIMA QUARTA – DA PUBLICAÇÃO </w:t>
      </w:r>
    </w:p>
    <w:p w14:paraId="7F1D70EB" w14:textId="1CC1A0C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14.1 O Extrato do Termo de Execução Cultural será publicado nos meios oficiais da Prefeitura Municipal de ITAPIPOCA/CE.</w:t>
      </w:r>
    </w:p>
    <w:p w14:paraId="2781EE65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3EA35875" w14:textId="77777777" w:rsidR="007930BD" w:rsidRPr="00845C3E" w:rsidRDefault="007930BD" w:rsidP="007930BD">
      <w:pPr>
        <w:shd w:val="clear" w:color="auto" w:fill="D9D9D9" w:themeFill="background1" w:themeFillShade="D9"/>
        <w:spacing w:after="100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845C3E">
        <w:rPr>
          <w:rFonts w:ascii="Arial" w:hAnsi="Arial" w:cs="Arial"/>
          <w:b/>
          <w:bCs/>
          <w:sz w:val="24"/>
          <w:szCs w:val="24"/>
        </w:rPr>
        <w:t xml:space="preserve">15. CLAUSULA DÉCIMA QUINTA - DO FORO </w:t>
      </w:r>
    </w:p>
    <w:p w14:paraId="1B854A16" w14:textId="77777777" w:rsidR="007930BD" w:rsidRPr="00845C3E" w:rsidRDefault="007930BD" w:rsidP="007930BD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15.1 Fica eleito o Foro de ITAPIPOCA/CE para dirimir quaisquer dúvidas relativas ao presente Termo de Execução Cultural.</w:t>
      </w:r>
    </w:p>
    <w:p w14:paraId="749EC1D6" w14:textId="77777777" w:rsidR="00427A18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6FEDE396" w14:textId="77777777" w:rsidR="00427A18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1820C709" w14:textId="77777777" w:rsidR="00427A18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24091CAC" w14:textId="77777777" w:rsidR="00427A18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18227276" w14:textId="77777777" w:rsidR="00427A18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6AF88EB1" w14:textId="77777777" w:rsidR="00427A18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6377EFB4" w14:textId="7C8DE78A" w:rsidR="007930BD" w:rsidRDefault="007930BD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LOCAL, [INDICAR DIA, MÊS E ANO].</w:t>
      </w:r>
    </w:p>
    <w:p w14:paraId="465792DE" w14:textId="77777777" w:rsidR="00427A18" w:rsidRPr="00845C3E" w:rsidRDefault="00427A18" w:rsidP="007930BD">
      <w:pPr>
        <w:spacing w:after="0"/>
        <w:ind w:left="100"/>
        <w:jc w:val="right"/>
        <w:rPr>
          <w:rFonts w:ascii="Arial" w:hAnsi="Arial" w:cs="Arial"/>
          <w:sz w:val="24"/>
          <w:szCs w:val="24"/>
        </w:rPr>
      </w:pPr>
    </w:p>
    <w:p w14:paraId="0B33B1B2" w14:textId="77777777" w:rsidR="007930BD" w:rsidRPr="00845C3E" w:rsidRDefault="007930BD" w:rsidP="007930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34C351" w14:textId="77777777" w:rsidR="007930BD" w:rsidRPr="00845C3E" w:rsidRDefault="007930BD" w:rsidP="007930B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lastRenderedPageBreak/>
        <w:t>Pelo órgão:</w:t>
      </w:r>
    </w:p>
    <w:p w14:paraId="5835E978" w14:textId="77777777" w:rsidR="007930BD" w:rsidRDefault="007930BD" w:rsidP="007930B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[NOME DO REPRESENTANTE]</w:t>
      </w:r>
    </w:p>
    <w:p w14:paraId="25165B9B" w14:textId="77777777" w:rsidR="00427A18" w:rsidRPr="00845C3E" w:rsidRDefault="00427A18" w:rsidP="007930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4A81C7" w14:textId="77777777" w:rsidR="007930BD" w:rsidRPr="00845C3E" w:rsidRDefault="007930BD" w:rsidP="007930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617952" w14:textId="77777777" w:rsidR="007930BD" w:rsidRPr="00845C3E" w:rsidRDefault="007930BD" w:rsidP="007930B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Pelo Agente Cultural:</w:t>
      </w:r>
    </w:p>
    <w:p w14:paraId="66782A4F" w14:textId="77777777" w:rsidR="007930BD" w:rsidRPr="00845C3E" w:rsidRDefault="007930BD" w:rsidP="007930B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5C3E">
        <w:rPr>
          <w:rFonts w:ascii="Arial" w:hAnsi="Arial" w:cs="Arial"/>
          <w:sz w:val="24"/>
          <w:szCs w:val="24"/>
        </w:rPr>
        <w:t>[NOME DO AGENTE CULTURAL]</w:t>
      </w:r>
    </w:p>
    <w:p w14:paraId="2AFC0BB7" w14:textId="77777777" w:rsidR="007930BD" w:rsidRPr="00845C3E" w:rsidRDefault="007930BD" w:rsidP="007930BD">
      <w:pPr>
        <w:spacing w:after="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225A3E5A" w14:textId="77777777" w:rsidR="007930BD" w:rsidRPr="00845C3E" w:rsidRDefault="007930BD" w:rsidP="007930BD">
      <w:pPr>
        <w:rPr>
          <w:rFonts w:ascii="Arial" w:hAnsi="Arial" w:cs="Arial"/>
          <w:sz w:val="24"/>
          <w:szCs w:val="24"/>
        </w:rPr>
      </w:pPr>
    </w:p>
    <w:p w14:paraId="79F6F43E" w14:textId="77777777" w:rsidR="00D457F5" w:rsidRPr="00845C3E" w:rsidRDefault="00D457F5" w:rsidP="007930BD">
      <w:pPr>
        <w:rPr>
          <w:rFonts w:ascii="Arial" w:hAnsi="Arial" w:cs="Arial"/>
          <w:sz w:val="24"/>
          <w:szCs w:val="24"/>
        </w:rPr>
      </w:pPr>
    </w:p>
    <w:sectPr w:rsidR="00D457F5" w:rsidRPr="00845C3E" w:rsidSect="00845C3E">
      <w:headerReference w:type="default" r:id="rId8"/>
      <w:pgSz w:w="11906" w:h="16838"/>
      <w:pgMar w:top="1418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6D5C6" w14:textId="77777777" w:rsidR="005F63DA" w:rsidRDefault="005F63DA" w:rsidP="000C6CC6">
      <w:pPr>
        <w:spacing w:after="0" w:line="240" w:lineRule="auto"/>
      </w:pPr>
      <w:r>
        <w:separator/>
      </w:r>
    </w:p>
  </w:endnote>
  <w:endnote w:type="continuationSeparator" w:id="0">
    <w:p w14:paraId="50A15B3D" w14:textId="77777777" w:rsidR="005F63DA" w:rsidRDefault="005F63DA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88ED0" w14:textId="77777777" w:rsidR="005F63DA" w:rsidRDefault="005F63DA" w:rsidP="000C6CC6">
      <w:pPr>
        <w:spacing w:after="0" w:line="240" w:lineRule="auto"/>
      </w:pPr>
      <w:r>
        <w:separator/>
      </w:r>
    </w:p>
  </w:footnote>
  <w:footnote w:type="continuationSeparator" w:id="0">
    <w:p w14:paraId="6ACCC94B" w14:textId="77777777" w:rsidR="005F63DA" w:rsidRDefault="005F63DA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5A7B5" w14:textId="2B3916E1" w:rsidR="00845C3E" w:rsidRDefault="00845C3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2F81CA" wp14:editId="167B87E1">
          <wp:simplePos x="0" y="0"/>
          <wp:positionH relativeFrom="page">
            <wp:align>left</wp:align>
          </wp:positionH>
          <wp:positionV relativeFrom="paragraph">
            <wp:posOffset>-450908</wp:posOffset>
          </wp:positionV>
          <wp:extent cx="7553325" cy="10668000"/>
          <wp:effectExtent l="0" t="0" r="9525" b="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D4D97"/>
    <w:rsid w:val="000E5698"/>
    <w:rsid w:val="001054A9"/>
    <w:rsid w:val="00133ED4"/>
    <w:rsid w:val="00171770"/>
    <w:rsid w:val="001A587A"/>
    <w:rsid w:val="001C5E4D"/>
    <w:rsid w:val="001E66C7"/>
    <w:rsid w:val="001F1D11"/>
    <w:rsid w:val="00207F39"/>
    <w:rsid w:val="00223448"/>
    <w:rsid w:val="00234FCC"/>
    <w:rsid w:val="00247C75"/>
    <w:rsid w:val="00255562"/>
    <w:rsid w:val="002A36D3"/>
    <w:rsid w:val="002E12EA"/>
    <w:rsid w:val="002E5883"/>
    <w:rsid w:val="00342B21"/>
    <w:rsid w:val="00353B1A"/>
    <w:rsid w:val="00366ED0"/>
    <w:rsid w:val="00385C76"/>
    <w:rsid w:val="003D0B58"/>
    <w:rsid w:val="00427A18"/>
    <w:rsid w:val="0045186A"/>
    <w:rsid w:val="00471E3C"/>
    <w:rsid w:val="004A7623"/>
    <w:rsid w:val="004C71E3"/>
    <w:rsid w:val="004D23D9"/>
    <w:rsid w:val="004E3B4C"/>
    <w:rsid w:val="00505122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5F63DA"/>
    <w:rsid w:val="0061000A"/>
    <w:rsid w:val="00613F44"/>
    <w:rsid w:val="00622494"/>
    <w:rsid w:val="0066051D"/>
    <w:rsid w:val="006605CD"/>
    <w:rsid w:val="00677B57"/>
    <w:rsid w:val="006822A4"/>
    <w:rsid w:val="006A496F"/>
    <w:rsid w:val="006B77D5"/>
    <w:rsid w:val="006E318C"/>
    <w:rsid w:val="006F3C21"/>
    <w:rsid w:val="007305C7"/>
    <w:rsid w:val="0074091D"/>
    <w:rsid w:val="00745D3D"/>
    <w:rsid w:val="007930BD"/>
    <w:rsid w:val="007B5C84"/>
    <w:rsid w:val="007D0A62"/>
    <w:rsid w:val="007D2F1B"/>
    <w:rsid w:val="008336F6"/>
    <w:rsid w:val="008348EC"/>
    <w:rsid w:val="00845C3E"/>
    <w:rsid w:val="00863B5F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B2C59"/>
    <w:rsid w:val="00AB7F6A"/>
    <w:rsid w:val="00AD3A53"/>
    <w:rsid w:val="00AF4A39"/>
    <w:rsid w:val="00BB0BFB"/>
    <w:rsid w:val="00BB173A"/>
    <w:rsid w:val="00BD11E9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A193F"/>
    <w:rsid w:val="00CB30F5"/>
    <w:rsid w:val="00CE438A"/>
    <w:rsid w:val="00CF6E0D"/>
    <w:rsid w:val="00D03149"/>
    <w:rsid w:val="00D2241F"/>
    <w:rsid w:val="00D438DA"/>
    <w:rsid w:val="00D457F5"/>
    <w:rsid w:val="00D614F4"/>
    <w:rsid w:val="00DA20F9"/>
    <w:rsid w:val="00DA7951"/>
    <w:rsid w:val="00DE220A"/>
    <w:rsid w:val="00E338FE"/>
    <w:rsid w:val="00E661D8"/>
    <w:rsid w:val="00E67E06"/>
    <w:rsid w:val="00E77F34"/>
    <w:rsid w:val="00E84CA1"/>
    <w:rsid w:val="00E85E26"/>
    <w:rsid w:val="00E92A1F"/>
    <w:rsid w:val="00E93D49"/>
    <w:rsid w:val="00EA2406"/>
    <w:rsid w:val="00EE2CAE"/>
    <w:rsid w:val="00EF758A"/>
    <w:rsid w:val="00F52AE4"/>
    <w:rsid w:val="00F7121D"/>
    <w:rsid w:val="00F76EE9"/>
    <w:rsid w:val="00F86DD3"/>
    <w:rsid w:val="00FA29E3"/>
    <w:rsid w:val="00FC721D"/>
    <w:rsid w:val="00FD7EB4"/>
    <w:rsid w:val="00FE78FD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2298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33</cp:revision>
  <cp:lastPrinted>2024-04-06T17:50:00Z</cp:lastPrinted>
  <dcterms:created xsi:type="dcterms:W3CDTF">2024-04-06T19:44:00Z</dcterms:created>
  <dcterms:modified xsi:type="dcterms:W3CDTF">2024-10-25T14:20:00Z</dcterms:modified>
</cp:coreProperties>
</file>